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Cahier des charges</w:t>
        <w:br/>
        <w:t>informatique</w:t>
      </w:r>
    </w:p>
    <w:p>
      <w:pPr>
        <w:pStyle w:val="Subtitle"/>
      </w:pPr>
      <w:r>
        <w:t>Trame vierge + exemple rempli</w:t>
      </w:r>
    </w:p>
    <w:p>
      <w:r>
        <w:t>Complétez les champs entre crochets. Dupliquez les fiches selon vos besoins. Faites valider les règles métier et les contraintes techniques par leurs responsables. L’exemple est fictif : ses chiffres ne sont ni des références sectorielles ni des engagements de Softyflow.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Identification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À compléter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Projet / référence</w:t>
            </w:r>
          </w:p>
        </w:tc>
        <w:tc>
          <w:tcPr>
            <w:tcW w:type="dxa" w:w="4933"/>
            <w:shd w:fill="FFF0F4"/>
          </w:tcPr>
          <w:p>
            <w:r>
              <w:t>[Nom du projet et identifiant]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Version / date / statut</w:t>
            </w:r>
          </w:p>
        </w:tc>
        <w:tc>
          <w:tcPr>
            <w:tcW w:type="dxa" w:w="4933"/>
            <w:shd w:fill="FFF0F4"/>
          </w:tcPr>
          <w:p>
            <w:r>
              <w:t>[Version — date — en rédaction, en revue ou validé]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Responsable / sponsor</w:t>
            </w:r>
          </w:p>
        </w:tc>
        <w:tc>
          <w:tcPr>
            <w:tcW w:type="dxa" w:w="4933"/>
            <w:shd w:fill="FFF0F4"/>
          </w:tcPr>
          <w:p>
            <w:r>
              <w:t>[Noms, fonctions et coordonnées professionnelles]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Emplacement de référence</w:t>
            </w:r>
          </w:p>
        </w:tc>
        <w:tc>
          <w:tcPr>
            <w:tcW w:type="dxa" w:w="4933"/>
            <w:shd w:fill="FFF0F4"/>
          </w:tcPr>
          <w:p>
            <w:r>
              <w:t>[Lien vers la version partagée et règles d’accès]</w:t>
            </w:r>
          </w:p>
        </w:tc>
      </w:tr>
    </w:tbl>
    <w:p/>
    <w:p>
      <w:pPr>
        <w:pStyle w:val="Heading1"/>
      </w:pPr>
      <w:r>
        <w:t>1. Contexte et objectifs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Sujet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À compléter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Situation actuelle</w:t>
            </w:r>
          </w:p>
        </w:tc>
        <w:tc>
          <w:tcPr>
            <w:tcW w:type="dxa" w:w="4933"/>
            <w:shd w:fill="FFF0F4"/>
          </w:tcPr>
          <w:p>
            <w:r>
              <w:t>[Activité, outils, problèmes observés et sources des observations]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Objectif</w:t>
            </w:r>
          </w:p>
        </w:tc>
        <w:tc>
          <w:tcPr>
            <w:tcW w:type="dxa" w:w="4933"/>
            <w:shd w:fill="FFF0F4"/>
          </w:tcPr>
          <w:p>
            <w:r>
              <w:t>[Résultat attendu et indicateur de réussite]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Mesure</w:t>
            </w:r>
          </w:p>
        </w:tc>
        <w:tc>
          <w:tcPr>
            <w:tcW w:type="dxa" w:w="4933"/>
            <w:shd w:fill="FFF0F4"/>
          </w:tcPr>
          <w:p>
            <w:r>
              <w:t>[Valeur de départ, cible, période, méthode et responsable de mesure]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Volumes</w:t>
            </w:r>
          </w:p>
        </w:tc>
        <w:tc>
          <w:tcPr>
            <w:tcW w:type="dxa" w:w="4933"/>
            <w:shd w:fill="FFF0F4"/>
          </w:tcPr>
          <w:p>
            <w:r>
              <w:t>[Utilisateurs, dossiers, sites ; distinguer mesures et estimations]</w:t>
            </w:r>
          </w:p>
        </w:tc>
      </w:tr>
    </w:tbl>
    <w:p/>
    <w:p>
      <w:pPr>
        <w:pStyle w:val="Heading1"/>
      </w:pPr>
      <w:r>
        <w:t>2. Utilisateurs et processus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Rôle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Usage et validation attendus</w:t>
            </w:r>
          </w:p>
        </w:tc>
      </w:tr>
      <w:tr>
        <w:trPr>
          <w:cantSplit/>
        </w:trPr>
        <w:tc>
          <w:tcPr>
            <w:tcW w:type="dxa" w:w="4933"/>
            <w:shd w:fill="FFF0F4"/>
          </w:tcPr>
          <w:p>
            <w:r>
              <w:t>[Métier / utilisateur]</w:t>
            </w:r>
          </w:p>
        </w:tc>
        <w:tc>
          <w:tcPr>
            <w:tcW w:type="dxa" w:w="4933"/>
            <w:shd w:fill="FFF0F4"/>
          </w:tcPr>
          <w:p>
            <w:r>
              <w:t>[Déclencheur, actions, informations et résultat]</w:t>
            </w:r>
          </w:p>
        </w:tc>
      </w:tr>
      <w:tr>
        <w:trPr>
          <w:cantSplit/>
        </w:trPr>
        <w:tc>
          <w:tcPr>
            <w:tcW w:type="dxa" w:w="4933"/>
            <w:shd w:fill="FFF0F4"/>
          </w:tcPr>
          <w:p>
            <w:r>
              <w:t>[DSI / sécurité]</w:t>
            </w:r>
          </w:p>
        </w:tc>
        <w:tc>
          <w:tcPr>
            <w:tcW w:type="dxa" w:w="4933"/>
            <w:shd w:fill="FFF0F4"/>
          </w:tcPr>
          <w:p>
            <w:r>
              <w:t>[Contraintes à vérifier et décisions à valider]</w:t>
            </w:r>
          </w:p>
        </w:tc>
      </w:tr>
      <w:tr>
        <w:trPr>
          <w:cantSplit/>
        </w:trPr>
        <w:tc>
          <w:tcPr>
            <w:tcW w:type="dxa" w:w="4933"/>
            <w:shd w:fill="FFF0F4"/>
          </w:tcPr>
          <w:p>
            <w:r>
              <w:t>[Sponsor / achats]</w:t>
            </w:r>
          </w:p>
        </w:tc>
        <w:tc>
          <w:tcPr>
            <w:tcW w:type="dxa" w:w="4933"/>
            <w:shd w:fill="FFF0F4"/>
          </w:tcPr>
          <w:p>
            <w:r>
              <w:t>[Arbitrages, budget et cadre de consultation]</w:t>
            </w:r>
          </w:p>
        </w:tc>
      </w:tr>
    </w:tbl>
    <w:p/>
    <w:p>
      <w:r>
        <w:t>Processus : [Déclencheur → étapes → décision → résultat]. Exceptions : [Refus, dossier incomplet, absence, doublon, annulation, réouverture].</w:t>
      </w:r>
    </w:p>
    <w:p>
      <w:r>
        <w:br w:type="page"/>
      </w:r>
    </w:p>
    <w:p>
      <w:pPr>
        <w:pStyle w:val="Heading1"/>
      </w:pPr>
      <w:r>
        <w:t>3. Périmètre et priorités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Décision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À compléter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Premier lot</w:t>
            </w:r>
          </w:p>
        </w:tc>
        <w:tc>
          <w:tcPr>
            <w:tcW w:type="dxa" w:w="4933"/>
            <w:shd w:fill="FFF0F4"/>
          </w:tcPr>
          <w:p>
            <w:r>
              <w:t>[Usages, sites, populations, langues et données inclus]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Hors périmètre</w:t>
            </w:r>
          </w:p>
        </w:tc>
        <w:tc>
          <w:tcPr>
            <w:tcW w:type="dxa" w:w="4933"/>
            <w:shd w:fill="FFF0F4"/>
          </w:tcPr>
          <w:p>
            <w:r>
              <w:t>[Exclusions explicites et lots ultérieurs éventuels]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Dépendances</w:t>
            </w:r>
          </w:p>
        </w:tc>
        <w:tc>
          <w:tcPr>
            <w:tcW w:type="dxa" w:w="4933"/>
            <w:shd w:fill="FFF0F4"/>
          </w:tcPr>
          <w:p>
            <w:r>
              <w:t>[Accès aux interfaces, disponibilité des experts et qualité des données]</w:t>
            </w:r>
          </w:p>
        </w:tc>
      </w:tr>
    </w:tbl>
    <w:p/>
    <w:p>
      <w:r>
        <w:t>Indispensable : absence bloquante pour la mise en service. Important : report possible après arbitrage. Optionnel : chiffrage séparé. Attribuez une priorité à chaque exigence.</w:t>
      </w:r>
    </w:p>
    <w:p>
      <w:pPr>
        <w:pStyle w:val="Heading1"/>
      </w:pPr>
      <w:r>
        <w:t>4. Fiche d’exigence fonctionnelle</w:t>
      </w:r>
    </w:p>
    <w:p>
      <w:r>
        <w:t>Dupliquez cette fiche pour chaque règle vérifiable. Gardez le même identifiant dans les tâches et les tests.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Champ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À compléter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Identifiant / nom</w:t>
            </w:r>
          </w:p>
        </w:tc>
        <w:tc>
          <w:tcPr>
            <w:tcW w:type="dxa" w:w="4933"/>
            <w:shd w:fill="FFF0F4"/>
          </w:tcPr>
          <w:p>
            <w:r>
              <w:t>[F-01 — nom court]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Acteur / déclencheur</w:t>
            </w:r>
          </w:p>
        </w:tc>
        <w:tc>
          <w:tcPr>
            <w:tcW w:type="dxa" w:w="4933"/>
            <w:shd w:fill="FFF0F4"/>
          </w:tcPr>
          <w:p>
            <w:r>
              <w:t>[Qui agit ? Dans quelle situation ?]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Données / préconditions</w:t>
            </w:r>
          </w:p>
        </w:tc>
        <w:tc>
          <w:tcPr>
            <w:tcW w:type="dxa" w:w="4933"/>
            <w:shd w:fill="FFF0F4"/>
          </w:tcPr>
          <w:p>
            <w:r>
              <w:t>[Champs, formats, statut initial et droits nécessaires]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Règle et résultat</w:t>
            </w:r>
          </w:p>
        </w:tc>
        <w:tc>
          <w:tcPr>
            <w:tcW w:type="dxa" w:w="4933"/>
            <w:shd w:fill="FFF0F4"/>
          </w:tcPr>
          <w:p>
            <w:r>
              <w:t>[Action autorisée, contrôle et résultat attendu]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Exceptions</w:t>
            </w:r>
          </w:p>
        </w:tc>
        <w:tc>
          <w:tcPr>
            <w:tcW w:type="dxa" w:w="4933"/>
            <w:shd w:fill="FFF0F4"/>
          </w:tcPr>
          <w:p>
            <w:r>
              <w:t>[Cas de refus et comportement attendu]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Priorité / justification</w:t>
            </w:r>
          </w:p>
        </w:tc>
        <w:tc>
          <w:tcPr>
            <w:tcW w:type="dxa" w:w="4933"/>
            <w:shd w:fill="FFF0F4"/>
          </w:tcPr>
          <w:p>
            <w:r>
              <w:t>[Indispensable, important ou optionnel — motif]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Critère de recette</w:t>
            </w:r>
          </w:p>
        </w:tc>
        <w:tc>
          <w:tcPr>
            <w:tcW w:type="dxa" w:w="4933"/>
            <w:shd w:fill="FFF0F4"/>
          </w:tcPr>
          <w:p>
            <w:r>
              <w:t>[Données de test, action et résultat observable]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Responsable / test lié</w:t>
            </w:r>
          </w:p>
        </w:tc>
        <w:tc>
          <w:tcPr>
            <w:tcW w:type="dxa" w:w="4933"/>
            <w:shd w:fill="FFF0F4"/>
          </w:tcPr>
          <w:p>
            <w:r>
              <w:t>[Validateur métier — identifiant T-01]</w:t>
            </w:r>
          </w:p>
        </w:tc>
      </w:tr>
    </w:tbl>
    <w:p/>
    <w:p>
      <w:pPr>
        <w:pStyle w:val="Heading2"/>
      </w:pPr>
      <w:r>
        <w:t>Matrice des droits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</w:trPr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Profil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Données visibles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Actions autorisées</w:t>
            </w:r>
          </w:p>
        </w:tc>
      </w:tr>
      <w:tr>
        <w:trPr>
          <w:cantSplit/>
        </w:trPr>
        <w:tc>
          <w:tcPr>
            <w:tcW w:type="dxa" w:w="3289"/>
            <w:shd w:fill="FFF0F4"/>
          </w:tcPr>
          <w:p>
            <w:r>
              <w:t>[Profil 1]</w:t>
            </w:r>
          </w:p>
        </w:tc>
        <w:tc>
          <w:tcPr>
            <w:tcW w:type="dxa" w:w="3289"/>
            <w:shd w:fill="FFF0F4"/>
          </w:tcPr>
          <w:p>
            <w:r>
              <w:t>[Ses dossiers / son site / autre]</w:t>
            </w:r>
          </w:p>
        </w:tc>
        <w:tc>
          <w:tcPr>
            <w:tcW w:type="dxa" w:w="3289"/>
            <w:shd w:fill="FFF0F4"/>
          </w:tcPr>
          <w:p>
            <w:r>
              <w:t>[Créer, consulter, modifier, affecter, clôturer…]</w:t>
            </w:r>
          </w:p>
        </w:tc>
      </w:tr>
      <w:tr>
        <w:trPr>
          <w:cantSplit/>
        </w:trPr>
        <w:tc>
          <w:tcPr>
            <w:tcW w:type="dxa" w:w="3289"/>
            <w:shd w:fill="FFF0F4"/>
          </w:tcPr>
          <w:p>
            <w:r>
              <w:t>[Profil 2]</w:t>
            </w:r>
          </w:p>
        </w:tc>
        <w:tc>
          <w:tcPr>
            <w:tcW w:type="dxa" w:w="3289"/>
            <w:shd w:fill="FFF0F4"/>
          </w:tcPr>
          <w:p>
            <w:r>
              <w:t>[Périmètre autorisé]</w:t>
            </w:r>
          </w:p>
        </w:tc>
        <w:tc>
          <w:tcPr>
            <w:tcW w:type="dxa" w:w="3289"/>
            <w:shd w:fill="FFF0F4"/>
          </w:tcPr>
          <w:p>
            <w:r>
              <w:t>[Actions et restrictions]</w:t>
            </w:r>
          </w:p>
        </w:tc>
      </w:tr>
    </w:tbl>
    <w:p/>
    <w:p>
      <w:r>
        <w:br w:type="page"/>
      </w:r>
    </w:p>
    <w:p>
      <w:pPr>
        <w:pStyle w:val="Heading1"/>
      </w:pPr>
      <w:r>
        <w:t>5. Données, interfaces et contraintes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Sujet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À compléter et faire valider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Sources et reprise</w:t>
            </w:r>
          </w:p>
        </w:tc>
        <w:tc>
          <w:tcPr>
            <w:tcW w:type="dxa" w:w="4933"/>
            <w:shd w:fill="FFF0F4"/>
          </w:tcPr>
          <w:p>
            <w:r>
              <w:t>[Systèmes, formats, volumes, nettoyage et contrôles après import]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Interface / responsable</w:t>
            </w:r>
          </w:p>
        </w:tc>
        <w:tc>
          <w:tcPr>
            <w:tcW w:type="dxa" w:w="4933"/>
            <w:shd w:fill="FFF0F4"/>
          </w:tcPr>
          <w:p>
            <w:r>
              <w:t>[Système source et cible, contacts et documentation disponible]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Échanges</w:t>
            </w:r>
          </w:p>
        </w:tc>
        <w:tc>
          <w:tcPr>
            <w:tcW w:type="dxa" w:w="4933"/>
            <w:shd w:fill="FFF0F4"/>
          </w:tcPr>
          <w:p>
            <w:r>
              <w:t>[Sens, fréquence, champs, authentification, erreurs et reprise des échanges]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Données personnelles</w:t>
            </w:r>
          </w:p>
        </w:tc>
        <w:tc>
          <w:tcPr>
            <w:tcW w:type="dxa" w:w="4933"/>
            <w:shd w:fill="FFF0F4"/>
          </w:tcPr>
          <w:p>
            <w:r>
              <w:t>[Données nécessaires, finalités, accès et durées de conservation à valider]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Authentification</w:t>
            </w:r>
          </w:p>
        </w:tc>
        <w:tc>
          <w:tcPr>
            <w:tcW w:type="dxa" w:w="4933"/>
            <w:shd w:fill="FFF0F4"/>
          </w:tcPr>
          <w:p>
            <w:r>
              <w:t>[Annuaire, mécanisme de connexion et retrait des droits]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Traçabilité</w:t>
            </w:r>
          </w:p>
        </w:tc>
        <w:tc>
          <w:tcPr>
            <w:tcW w:type="dxa" w:w="4933"/>
            <w:shd w:fill="FFF0F4"/>
          </w:tcPr>
          <w:p>
            <w:r>
              <w:t>[Événements à tracer, accès aux journaux et conservation]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Performance</w:t>
            </w:r>
          </w:p>
        </w:tc>
        <w:tc>
          <w:tcPr>
            <w:tcW w:type="dxa" w:w="4933"/>
            <w:shd w:fill="FFF0F4"/>
          </w:tcPr>
          <w:p>
            <w:r>
              <w:t>[Opération, seuil, percentile, charge, volume, durée et réseau de test]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Disponibilité</w:t>
            </w:r>
          </w:p>
        </w:tc>
        <w:tc>
          <w:tcPr>
            <w:tcW w:type="dxa" w:w="4933"/>
            <w:shd w:fill="FFF0F4"/>
          </w:tcPr>
          <w:p>
            <w:r>
              <w:t>[Plages de service, incidents tolérés et modalités de mesure]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Sauvegarde / reprise</w:t>
            </w:r>
          </w:p>
        </w:tc>
        <w:tc>
          <w:tcPr>
            <w:tcW w:type="dxa" w:w="4933"/>
            <w:shd w:fill="FFF0F4"/>
          </w:tcPr>
          <w:p>
            <w:r>
              <w:t>[Fréquence, perte maximale de données, délai de reprise et test de restauration]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Accessibilité / mobilité</w:t>
            </w:r>
          </w:p>
        </w:tc>
        <w:tc>
          <w:tcPr>
            <w:tcW w:type="dxa" w:w="4933"/>
            <w:shd w:fill="FFF0F4"/>
          </w:tcPr>
          <w:p>
            <w:r>
              <w:t>[Parcours clavier, critères de vérification, terminaux et hors connexion éventuel]</w:t>
            </w:r>
          </w:p>
        </w:tc>
      </w:tr>
    </w:tbl>
    <w:p/>
    <w:p>
      <w:pPr>
        <w:pStyle w:val="Heading2"/>
      </w:pPr>
      <w:r>
        <w:t>Fiche d’exigence non fonctionnelle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Champ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À compléter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Identifiant / priorité</w:t>
            </w:r>
          </w:p>
        </w:tc>
        <w:tc>
          <w:tcPr>
            <w:tcW w:type="dxa" w:w="4933"/>
            <w:shd w:fill="FFF0F4"/>
          </w:tcPr>
          <w:p>
            <w:r>
              <w:t>[NF-01 — priorité et justification]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Condition vérifiable</w:t>
            </w:r>
          </w:p>
        </w:tc>
        <w:tc>
          <w:tcPr>
            <w:tcW w:type="dxa" w:w="4933"/>
            <w:shd w:fill="FFF0F4"/>
          </w:tcPr>
          <w:p>
            <w:r>
              <w:t>[Seuil ou contrôle, contexte et méthode de vérification]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Responsable / preuve</w:t>
            </w:r>
          </w:p>
        </w:tc>
        <w:tc>
          <w:tcPr>
            <w:tcW w:type="dxa" w:w="4933"/>
            <w:shd w:fill="FFF0F4"/>
          </w:tcPr>
          <w:p>
            <w:r>
              <w:t>[Validateur — rapport, test ou configuration attendue]</w:t>
            </w:r>
          </w:p>
        </w:tc>
      </w:tr>
    </w:tbl>
    <w:p/>
    <w:p>
      <w:r>
        <w:t>Repère pour la sécurité : https://www.cnil.fr/fr/guide-de-la-securite-des-donnees-personnelles</w:t>
      </w:r>
    </w:p>
    <w:p>
      <w:r>
        <w:br w:type="page"/>
      </w:r>
    </w:p>
    <w:p>
      <w:pPr>
        <w:pStyle w:val="Heading1"/>
      </w:pPr>
      <w:r>
        <w:t>6. Budget, planning et exploitation</w:t>
      </w:r>
    </w:p>
    <w:p>
      <w:r>
        <w:t>Indiquez la devise, HT ou TTC, les hypothèses de volume et la période de comparaison. Séparez investissement initial et dépenses récurrentes.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Poste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Hypothèses et estimation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Cadrage / réalisation</w:t>
            </w:r>
          </w:p>
        </w:tc>
        <w:tc>
          <w:tcPr>
            <w:tcW w:type="dxa" w:w="4933"/>
            <w:shd w:fill="FFF0F4"/>
          </w:tcPr>
          <w:p>
            <w:r>
              <w:t>[Périmètre, charge, livrables et estimation]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Interfaces / reprise</w:t>
            </w:r>
          </w:p>
        </w:tc>
        <w:tc>
          <w:tcPr>
            <w:tcW w:type="dxa" w:w="4933"/>
            <w:shd w:fill="FFF0F4"/>
          </w:tcPr>
          <w:p>
            <w:r>
              <w:t>[Nombre, complexité et estimation]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Tests / formation / déploiement</w:t>
            </w:r>
          </w:p>
        </w:tc>
        <w:tc>
          <w:tcPr>
            <w:tcW w:type="dxa" w:w="4933"/>
            <w:shd w:fill="FFF0F4"/>
          </w:tcPr>
          <w:p>
            <w:r>
              <w:t>[Périmètre, participants et estimation]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Licences / hébergement</w:t>
            </w:r>
          </w:p>
        </w:tc>
        <w:tc>
          <w:tcPr>
            <w:tcW w:type="dxa" w:w="4933"/>
            <w:shd w:fill="FFF0F4"/>
          </w:tcPr>
          <w:p>
            <w:r>
              <w:t>[Base de facturation, période et estimation]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Support / maintenance</w:t>
            </w:r>
          </w:p>
        </w:tc>
        <w:tc>
          <w:tcPr>
            <w:tcW w:type="dxa" w:w="4933"/>
            <w:shd w:fill="FFF0F4"/>
          </w:tcPr>
          <w:p>
            <w:r>
              <w:t>[Plages, niveaux de service, responsabilités et estimation]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Options / incertitudes</w:t>
            </w:r>
          </w:p>
        </w:tc>
        <w:tc>
          <w:tcPr>
            <w:tcW w:type="dxa" w:w="4933"/>
            <w:shd w:fill="FFF0F4"/>
          </w:tcPr>
          <w:p>
            <w:r>
              <w:t>[Chiffrage séparé et hypothèses à lever]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</w:trPr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Jalon et livrable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Date / responsable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Dépendance / validation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Cadrage validé</w:t>
            </w:r>
          </w:p>
        </w:tc>
        <w:tc>
          <w:tcPr>
            <w:tcW w:type="dxa" w:w="3289"/>
            <w:shd w:fill="FFF0F4"/>
          </w:tcPr>
          <w:p>
            <w:r>
              <w:t>[Date — nom]</w:t>
            </w:r>
          </w:p>
        </w:tc>
        <w:tc>
          <w:tcPr>
            <w:tcW w:type="dxa" w:w="3289"/>
            <w:shd w:fill="FFF0F4"/>
          </w:tcPr>
          <w:p>
            <w:r>
              <w:t>[Décisions et accord du sponsor]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Prototype examiné</w:t>
            </w:r>
          </w:p>
        </w:tc>
        <w:tc>
          <w:tcPr>
            <w:tcW w:type="dxa" w:w="3289"/>
            <w:shd w:fill="FFF0F4"/>
          </w:tcPr>
          <w:p>
            <w:r>
              <w:t>[Date — nom]</w:t>
            </w:r>
          </w:p>
        </w:tc>
        <w:tc>
          <w:tcPr>
            <w:tcW w:type="dxa" w:w="3289"/>
            <w:shd w:fill="FFF0F4"/>
          </w:tcPr>
          <w:p>
            <w:r>
              <w:t>[Disponibilité des utilisateurs]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Interfaces testées</w:t>
            </w:r>
          </w:p>
        </w:tc>
        <w:tc>
          <w:tcPr>
            <w:tcW w:type="dxa" w:w="3289"/>
            <w:shd w:fill="FFF0F4"/>
          </w:tcPr>
          <w:p>
            <w:r>
              <w:t>[Date — nom]</w:t>
            </w:r>
          </w:p>
        </w:tc>
        <w:tc>
          <w:tcPr>
            <w:tcW w:type="dxa" w:w="3289"/>
            <w:shd w:fill="FFF0F4"/>
          </w:tcPr>
          <w:p>
            <w:r>
              <w:t>[Accès et jeux de données]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Recette terminée</w:t>
            </w:r>
          </w:p>
        </w:tc>
        <w:tc>
          <w:tcPr>
            <w:tcW w:type="dxa" w:w="3289"/>
            <w:shd w:fill="FFF0F4"/>
          </w:tcPr>
          <w:p>
            <w:r>
              <w:t>[Date — nom]</w:t>
            </w:r>
          </w:p>
        </w:tc>
        <w:tc>
          <w:tcPr>
            <w:tcW w:type="dxa" w:w="3289"/>
            <w:shd w:fill="FFF0F4"/>
          </w:tcPr>
          <w:p>
            <w:r>
              <w:t>[Tests et anomalies acceptables]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Mise en service</w:t>
            </w:r>
          </w:p>
        </w:tc>
        <w:tc>
          <w:tcPr>
            <w:tcW w:type="dxa" w:w="3289"/>
            <w:shd w:fill="FFF0F4"/>
          </w:tcPr>
          <w:p>
            <w:r>
              <w:t>[Date — nom]</w:t>
            </w:r>
          </w:p>
        </w:tc>
        <w:tc>
          <w:tcPr>
            <w:tcW w:type="dxa" w:w="3289"/>
            <w:shd w:fill="FFF0F4"/>
          </w:tcPr>
          <w:p>
            <w:r>
              <w:t>[Formation, support et reprise validés]</w:t>
            </w:r>
          </w:p>
        </w:tc>
      </w:tr>
    </w:tbl>
    <w:p/>
    <w:p>
      <w:pPr>
        <w:pStyle w:val="Heading2"/>
      </w:pPr>
      <w:r>
        <w:t>Livrables et sortie de la solution</w:t>
      </w:r>
    </w:p>
    <w:p>
      <w:r>
        <w:t>[Documentation, transfert de connaissances, accès d’administration, formats d’export, récupération des données et modalités de réversibilité à préciser avec le prestataire.]</w:t>
      </w:r>
    </w:p>
    <w:p>
      <w:pPr>
        <w:pStyle w:val="Heading2"/>
      </w:pPr>
      <w:r>
        <w:t>Format de réponse du prestataire</w:t>
      </w:r>
    </w:p>
    <w:p>
      <w:r>
        <w:t>Pour chaque exigence : couvert en standard / à configurer / à développer / non couvert. Indiquer les hypothèses, exclusions, dépendances, coût et délai. Chiffrer les options séparément.</w:t>
      </w:r>
    </w:p>
    <w:p>
      <w:r>
        <w:br w:type="page"/>
      </w:r>
    </w:p>
    <w:p>
      <w:pPr>
        <w:pStyle w:val="Heading1"/>
      </w:pPr>
      <w:r>
        <w:t>7. Recette et acceptation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Scénario de test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À compléter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Identifiant / exigence</w:t>
            </w:r>
          </w:p>
        </w:tc>
        <w:tc>
          <w:tcPr>
            <w:tcW w:type="dxa" w:w="4933"/>
            <w:shd w:fill="FFF0F4"/>
          </w:tcPr>
          <w:p>
            <w:r>
              <w:t>[T-01 — exigence F-01]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Profil / préconditions</w:t>
            </w:r>
          </w:p>
        </w:tc>
        <w:tc>
          <w:tcPr>
            <w:tcW w:type="dxa" w:w="4933"/>
            <w:shd w:fill="FFF0F4"/>
          </w:tcPr>
          <w:p>
            <w:r>
              <w:t>[Utilisateur, droits, données et état initial]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Actions</w:t>
            </w:r>
          </w:p>
        </w:tc>
        <w:tc>
          <w:tcPr>
            <w:tcW w:type="dxa" w:w="4933"/>
            <w:shd w:fill="FFF0F4"/>
          </w:tcPr>
          <w:p>
            <w:r>
              <w:t>[Étapes reproductibles]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Résultat attendu</w:t>
            </w:r>
          </w:p>
        </w:tc>
        <w:tc>
          <w:tcPr>
            <w:tcW w:type="dxa" w:w="4933"/>
            <w:shd w:fill="FFF0F4"/>
          </w:tcPr>
          <w:p>
            <w:r>
              <w:t>[Résultat observable ou refus attendu]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Résultat constaté / preuve</w:t>
            </w:r>
          </w:p>
        </w:tc>
        <w:tc>
          <w:tcPr>
            <w:tcW w:type="dxa" w:w="4933"/>
            <w:shd w:fill="FFF0F4"/>
          </w:tcPr>
          <w:p>
            <w:r>
              <w:t>[Conforme ou anomalie — référence de preuve]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Testeur / date / validation</w:t>
            </w:r>
          </w:p>
        </w:tc>
        <w:tc>
          <w:tcPr>
            <w:tcW w:type="dxa" w:w="4933"/>
            <w:shd w:fill="FFF0F4"/>
          </w:tcPr>
          <w:p>
            <w:r>
              <w:t>[Noms, date et décision]</w:t>
            </w:r>
          </w:p>
        </w:tc>
      </w:tr>
    </w:tbl>
    <w:p/>
    <w:p>
      <w:r>
        <w:t>Conditions d’acceptation : [Tests obligatoires, anomalies bloquantes, réserves admises, délais de correction et responsable de l’acceptation].</w:t>
      </w:r>
    </w:p>
    <w:p>
      <w:pPr>
        <w:pStyle w:val="Heading1"/>
      </w:pPr>
      <w:r>
        <w:t>8. Validation et gestion des changements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</w:trPr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Version / décision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Auteur / validateur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Date / référence</w:t>
            </w:r>
          </w:p>
        </w:tc>
      </w:tr>
      <w:tr>
        <w:trPr>
          <w:cantSplit/>
        </w:trPr>
        <w:tc>
          <w:tcPr>
            <w:tcW w:type="dxa" w:w="3289"/>
            <w:shd w:fill="FFF0F4"/>
          </w:tcPr>
          <w:p>
            <w:r>
              <w:t>[Version — périmètre validé]</w:t>
            </w:r>
          </w:p>
        </w:tc>
        <w:tc>
          <w:tcPr>
            <w:tcW w:type="dxa" w:w="3289"/>
            <w:shd w:fill="FFF0F4"/>
          </w:tcPr>
          <w:p>
            <w:r>
              <w:t>[Noms et rôles]</w:t>
            </w:r>
          </w:p>
        </w:tc>
        <w:tc>
          <w:tcPr>
            <w:tcW w:type="dxa" w:w="3289"/>
            <w:shd w:fill="FFF0F4"/>
          </w:tcPr>
          <w:p>
            <w:r>
              <w:t>[Date — preuve de validation]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Changement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Impact et arbitrage</w:t>
            </w:r>
          </w:p>
        </w:tc>
      </w:tr>
      <w:tr>
        <w:trPr>
          <w:cantSplit/>
        </w:trPr>
        <w:tc>
          <w:tcPr>
            <w:tcW w:type="dxa" w:w="4933"/>
            <w:shd w:fill="FFF0F4"/>
          </w:tcPr>
          <w:p>
            <w:r>
              <w:t>[CH-01 — demande et motif]</w:t>
            </w:r>
          </w:p>
        </w:tc>
        <w:tc>
          <w:tcPr>
            <w:tcW w:type="dxa" w:w="4933"/>
            <w:shd w:fill="FFF0F4"/>
          </w:tcPr>
          <w:p>
            <w:r>
              <w:t>[Coût, délai, risques, exigences et tests concernés]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Décision / responsable</w:t>
            </w:r>
          </w:p>
        </w:tc>
        <w:tc>
          <w:tcPr>
            <w:tcW w:type="dxa" w:w="4933"/>
            <w:shd w:fill="FFF0F4"/>
          </w:tcPr>
          <w:p>
            <w:r>
              <w:t>[Intégrer, reporter ou abandonner — nom, date et version cible]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Question ouverte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Responsable / échéance</w:t>
            </w:r>
          </w:p>
        </w:tc>
      </w:tr>
      <w:tr>
        <w:trPr>
          <w:cantSplit/>
        </w:trPr>
        <w:tc>
          <w:tcPr>
            <w:tcW w:type="dxa" w:w="4933"/>
            <w:shd w:fill="FFF0F4"/>
          </w:tcPr>
          <w:p>
            <w:r>
              <w:t>[Question et conséquence sur le projet]</w:t>
            </w:r>
          </w:p>
        </w:tc>
        <w:tc>
          <w:tcPr>
            <w:tcW w:type="dxa" w:w="4933"/>
            <w:shd w:fill="FFF0F4"/>
          </w:tcPr>
          <w:p>
            <w:r>
              <w:t>[Nom — date — décision attendue]</w:t>
            </w:r>
          </w:p>
        </w:tc>
      </w:tr>
    </w:tbl>
    <w:p/>
    <w:p>
      <w:r>
        <w:t>Avant consultation : vérifier objectifs, périmètre, exceptions, droits, interfaces, tests, coûts récurrents, livrables, validateurs et questions ouvertes.</w:t>
      </w:r>
    </w:p>
    <w:p>
      <w:r>
        <w:br w:type="page"/>
      </w:r>
    </w:p>
    <w:p>
      <w:pPr>
        <w:pStyle w:val="Heading1"/>
      </w:pPr>
      <w:r>
        <w:t>Exemple rempli — demandes d’intervention</w:t>
      </w:r>
    </w:p>
    <w:p>
      <w:r>
        <w:t>EXEMPLE FICTIF. Les chiffres, règles et délais suivants servent à illustrer la rédaction. Ils ne constituent ni des résultats clients ni des engagements de Softyflow.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blHeader/>
        </w:trPr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Cadrage</w:t>
            </w:r>
          </w:p>
        </w:tc>
        <w:tc>
          <w:tcPr>
            <w:tcW w:type="dxa" w:w="4933"/>
            <w:shd w:fill="B61139"/>
          </w:tcPr>
          <w:p>
            <w:r>
              <w:rPr>
                <w:b/>
                <w:color w:val="FFFFFF"/>
              </w:rPr>
              <w:t>Exemple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Objectif</w:t>
            </w:r>
          </w:p>
        </w:tc>
        <w:tc>
          <w:tcPr>
            <w:tcW w:type="dxa" w:w="4933"/>
          </w:tcPr>
          <w:p>
            <w:r>
              <w:t>Centraliser les demandes de trois sites et rendre chaque demande traçable jusqu’à sa clôture.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Premier lot</w:t>
            </w:r>
          </w:p>
        </w:tc>
        <w:tc>
          <w:tcPr>
            <w:tcW w:type="dxa" w:w="4933"/>
          </w:tcPr>
          <w:p>
            <w:r>
              <w:t>Saisie, qualification, affectation, suivi et historique.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Hors périmètre</w:t>
            </w:r>
          </w:p>
        </w:tc>
        <w:tc>
          <w:tcPr>
            <w:tcW w:type="dxa" w:w="4933"/>
          </w:tcPr>
          <w:p>
            <w:r>
              <w:t>Stocks de pièces, facturation et maintenance prédictive.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Processus</w:t>
            </w:r>
          </w:p>
        </w:tc>
        <w:tc>
          <w:tcPr>
            <w:tcW w:type="dxa" w:w="4933"/>
          </w:tcPr>
          <w:p>
            <w:r>
              <w:t>Demandeur → demande à qualifier → responsable de site → technicien affecté → clôture avec compte rendu.</w:t>
            </w:r>
          </w:p>
        </w:tc>
      </w:tr>
      <w:tr>
        <w:trPr>
          <w:cantSplit/>
        </w:trPr>
        <w:tc>
          <w:tcPr>
            <w:tcW w:type="dxa" w:w="4933"/>
          </w:tcPr>
          <w:p>
            <w:r>
              <w:t>Droits</w:t>
            </w:r>
          </w:p>
        </w:tc>
        <w:tc>
          <w:tcPr>
            <w:tcW w:type="dxa" w:w="4933"/>
          </w:tcPr>
          <w:p>
            <w:r>
              <w:t>Demandeur : ses demandes. Responsable : demandes de son site. Technicien : demandes affectées.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</w:trPr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Exigence / priorité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Règle attendue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Critère d’acceptation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F-01</w:t>
              <w:br/>
              <w:t>Indispensable</w:t>
            </w:r>
          </w:p>
        </w:tc>
        <w:tc>
          <w:tcPr>
            <w:tcW w:type="dxa" w:w="3289"/>
          </w:tcPr>
          <w:p>
            <w:r>
              <w:t>Site, équipement et description obligatoires. Référence unique et statut « À qualifier » à la soumission.</w:t>
            </w:r>
          </w:p>
        </w:tc>
        <w:tc>
          <w:tcPr>
            <w:tcW w:type="dxa" w:w="3289"/>
          </w:tcPr>
          <w:p>
            <w:r>
              <w:t>Champ manquant : refus. Formulaire complet : une seule demande avec les valeurs saisies.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F-02</w:t>
              <w:br/>
              <w:t>Indispensable</w:t>
            </w:r>
          </w:p>
        </w:tc>
        <w:tc>
          <w:tcPr>
            <w:tcW w:type="dxa" w:w="3289"/>
          </w:tcPr>
          <w:p>
            <w:r>
              <w:t>Le responsable affecte une demande de son site à un technicien actif.</w:t>
            </w:r>
          </w:p>
        </w:tc>
        <w:tc>
          <w:tcPr>
            <w:tcW w:type="dxa" w:w="3289"/>
          </w:tcPr>
          <w:p>
            <w:r>
              <w:t>Visible dans la liste du technicien choisi. Affectation par un responsable d’un autre site refusée.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F-03</w:t>
              <w:br/>
              <w:t>Indispensable</w:t>
            </w:r>
          </w:p>
        </w:tc>
        <w:tc>
          <w:tcPr>
            <w:tcW w:type="dxa" w:w="3289"/>
          </w:tcPr>
          <w:p>
            <w:r>
              <w:t>Le technicien affecté clôture avec un compte rendu. Auteur et date conservés.</w:t>
            </w:r>
          </w:p>
        </w:tc>
        <w:tc>
          <w:tcPr>
            <w:tcW w:type="dxa" w:w="3289"/>
          </w:tcPr>
          <w:p>
            <w:r>
              <w:t>Clôture sans compte rendu refusée. Clôture valide : commentaire, statut, auteur et date enregistrés.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NF-01</w:t>
              <w:br/>
              <w:t>Importante</w:t>
            </w:r>
          </w:p>
        </w:tc>
        <w:tc>
          <w:tcPr>
            <w:tcW w:type="dxa" w:w="3289"/>
          </w:tcPr>
          <w:p>
            <w:r>
              <w:t>95 % des ouvertures de fiche en moins de deux secondes ; 10 000 demandes, 30 utilisateurs simultanés.</w:t>
            </w:r>
          </w:p>
        </w:tc>
        <w:tc>
          <w:tcPr>
            <w:tcW w:type="dxa" w:w="3289"/>
          </w:tcPr>
          <w:p>
            <w:r>
              <w:t>Test de 15 minutes, du clic à l’affichage utilisable, sur environnement et réseau convenus.</w:t>
            </w:r>
          </w:p>
        </w:tc>
      </w:tr>
    </w:tbl>
    <w:p/>
    <w:p>
      <w:r>
        <w:br w:type="page"/>
      </w:r>
    </w:p>
    <w:p>
      <w:pPr>
        <w:pStyle w:val="Heading1"/>
      </w:pPr>
      <w:r>
        <w:t>Exemple rempli — recette et arbitrage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89"/>
        <w:gridCol w:w="3289"/>
        <w:gridCol w:w="3289"/>
      </w:tblGrid>
      <w:tr>
        <w:trPr>
          <w:tblHeader/>
        </w:trPr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Test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Préconditions et actions</w:t>
            </w:r>
          </w:p>
        </w:tc>
        <w:tc>
          <w:tcPr>
            <w:tcW w:type="dxa" w:w="3289"/>
            <w:shd w:fill="B61139"/>
          </w:tcPr>
          <w:p>
            <w:r>
              <w:rPr>
                <w:b/>
                <w:color w:val="FFFFFF"/>
              </w:rPr>
              <w:t>Résultat attendu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T-01 / F-01</w:t>
            </w:r>
          </w:p>
        </w:tc>
        <w:tc>
          <w:tcPr>
            <w:tcW w:type="dxa" w:w="3289"/>
          </w:tcPr>
          <w:p>
            <w:r>
              <w:t>Demandeur autorisé. Soumettre une fiche sans description, puis avec tous les champs requis.</w:t>
            </w:r>
          </w:p>
        </w:tc>
        <w:tc>
          <w:tcPr>
            <w:tcW w:type="dxa" w:w="3289"/>
          </w:tcPr>
          <w:p>
            <w:r>
              <w:t>Premier envoi refusé. Second envoi : une demande créée, référence unique et statut « À qualifier ».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T-02 / F-02</w:t>
            </w:r>
          </w:p>
        </w:tc>
        <w:tc>
          <w:tcPr>
            <w:tcW w:type="dxa" w:w="3289"/>
          </w:tcPr>
          <w:p>
            <w:r>
              <w:t>Responsable du site A, demande du site A et technicien actif. Affecter la demande.</w:t>
            </w:r>
          </w:p>
        </w:tc>
        <w:tc>
          <w:tcPr>
            <w:tcW w:type="dxa" w:w="3289"/>
          </w:tcPr>
          <w:p>
            <w:r>
              <w:t>Affectation enregistrée ; demande visible dans la liste du technicien choisi.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T-03 / F-02</w:t>
            </w:r>
          </w:p>
        </w:tc>
        <w:tc>
          <w:tcPr>
            <w:tcW w:type="dxa" w:w="3289"/>
          </w:tcPr>
          <w:p>
            <w:r>
              <w:t>Responsable du site B. Tenter d’affecter une demande du site A, y compris par accès direct.</w:t>
            </w:r>
          </w:p>
        </w:tc>
        <w:tc>
          <w:tcPr>
            <w:tcW w:type="dxa" w:w="3289"/>
          </w:tcPr>
          <w:p>
            <w:r>
              <w:t>Opération refusée et demande inchangée.</w:t>
            </w:r>
          </w:p>
        </w:tc>
      </w:tr>
      <w:tr>
        <w:trPr>
          <w:cantSplit/>
        </w:trPr>
        <w:tc>
          <w:tcPr>
            <w:tcW w:type="dxa" w:w="3289"/>
          </w:tcPr>
          <w:p>
            <w:r>
              <w:t>T-04 / F-03</w:t>
            </w:r>
          </w:p>
        </w:tc>
        <w:tc>
          <w:tcPr>
            <w:tcW w:type="dxa" w:w="3289"/>
          </w:tcPr>
          <w:p>
            <w:r>
              <w:t>Technicien affecté. Tenter de clôturer sans compte rendu, puis avec un compte rendu.</w:t>
            </w:r>
          </w:p>
        </w:tc>
        <w:tc>
          <w:tcPr>
            <w:tcW w:type="dxa" w:w="3289"/>
          </w:tcPr>
          <w:p>
            <w:r>
              <w:t>Premier essai refusé. Second essai : statut clôturé, compte rendu, auteur et date présents.</w:t>
            </w:r>
          </w:p>
        </w:tc>
      </w:tr>
    </w:tbl>
    <w:p/>
    <w:p>
      <w:pPr>
        <w:pStyle w:val="Heading2"/>
      </w:pPr>
      <w:r>
        <w:t>Une question ouverte à résoudre</w:t>
      </w:r>
    </w:p>
    <w:p>
      <w:r>
        <w:t>Q-01 : qui peut réouvrir une intervention clôturée, et pendant combien de temps ? Responsable : pilote métier. Échéance : revue de cadrage. Décrire la décision, puis créer les exigences et tests correspondants.</w:t>
      </w:r>
    </w:p>
    <w:p>
      <w:pPr>
        <w:pStyle w:val="Heading2"/>
      </w:pPr>
      <w:r>
        <w:t>Une demande de changement</w:t>
      </w:r>
    </w:p>
    <w:p>
      <w:r>
        <w:t>CH-01 : ajouter le stock de pièces au premier lot. Motif : connaître la disponibilité avant affectation. Impacts à évaluer : référentiel, mouvements de stock, interfaces, droits et tests. Décision illustrative : reporter à un lot ultérieur après chiffrage ; premier lot inchangé.</w:t>
      </w:r>
    </w:p>
    <w:p>
      <w:pPr>
        <w:pStyle w:val="Heading2"/>
      </w:pPr>
      <w:r>
        <w:t>Décisions restant à prendre</w:t>
      </w:r>
    </w:p>
    <w:p>
      <w:r>
        <w:t>L’exemple ne fixe pas le budget, les dates, la conservation des données ni l’architecture. Ces éléments doivent être renseignés dans la trame avec les responsables du projet avant consultation.</w:t>
      </w:r>
    </w:p>
    <w:p>
      <w:r>
        <w:t>Guide et méthode : https://www.softyflow.io/redaction-cahier-des-charges-informatiques-leternel-recommencement/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Modèle à adapter • softyflow.io  |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SOFTYFLOW  /  CAHIER DES CHARGES INFORMATIQUE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Calibri" w:hAnsi="Calibri"/>
      <w:sz w:val="20"/>
      <w:lang w:val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1282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1282D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1282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 des charges informatique : modèle vierge et exemple rempli</dc:title>
  <dc:subject>Cadrage, exigences, recette et suivi des changements</dc:subject>
  <dc:creator>Softyflow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